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2418" w:rsidRDefault="003D33BC">
      <w:pPr>
        <w:spacing w:after="0" w:line="240" w:lineRule="auto"/>
        <w:ind w:left="851"/>
        <w:jc w:val="center"/>
      </w:pPr>
      <w:r>
        <w:rPr>
          <w:b/>
          <w:color w:val="60497A"/>
          <w:sz w:val="28"/>
          <w:szCs w:val="28"/>
        </w:rPr>
        <w:t>Tabla de aplicabilidad de las Obligaciones de transparencia específicas del Poder Judicial 2017</w:t>
      </w:r>
      <w:bookmarkStart w:id="0" w:name="_GoBack"/>
      <w:bookmarkEnd w:id="0"/>
      <w:r>
        <w:rPr>
          <w:b/>
          <w:color w:val="60497A"/>
          <w:sz w:val="28"/>
          <w:szCs w:val="28"/>
        </w:rPr>
        <w:t xml:space="preserve"> del Tribunal Superior de Justicia del Estado de Zacatecas</w:t>
      </w:r>
    </w:p>
    <w:p w:rsidR="00782418" w:rsidRDefault="00782418">
      <w:pPr>
        <w:spacing w:after="0" w:line="240" w:lineRule="auto"/>
        <w:ind w:left="851"/>
        <w:jc w:val="both"/>
      </w:pPr>
    </w:p>
    <w:p w:rsidR="00782418" w:rsidRDefault="003D33BC">
      <w:pPr>
        <w:spacing w:after="0" w:line="240" w:lineRule="auto"/>
        <w:ind w:left="851"/>
        <w:jc w:val="both"/>
      </w:pPr>
      <w:r>
        <w:rPr>
          <w:b/>
          <w:i/>
          <w:color w:val="60497A"/>
          <w:sz w:val="24"/>
          <w:szCs w:val="24"/>
        </w:rPr>
        <w:t>Artículo 73.</w:t>
      </w:r>
      <w:r>
        <w:rPr>
          <w:i/>
        </w:rPr>
        <w:t xml:space="preserve"> Además de lo señalado en el artículo 70 de la presente Ley, los sujetos obligados de los Poderes Judiciales Federa y, de las Entidades Federativas, deberán poner a disposición del público y actualizar la siguiente información:</w:t>
      </w:r>
      <w:r>
        <w:rPr>
          <w:b/>
          <w:color w:val="60497A"/>
        </w:rPr>
        <w:t xml:space="preserve"> </w:t>
      </w:r>
    </w:p>
    <w:p w:rsidR="00782418" w:rsidRDefault="00782418">
      <w:pPr>
        <w:spacing w:after="0" w:line="240" w:lineRule="auto"/>
        <w:ind w:left="851"/>
        <w:jc w:val="both"/>
      </w:pPr>
    </w:p>
    <w:tbl>
      <w:tblPr>
        <w:tblStyle w:val="a"/>
        <w:tblW w:w="13146" w:type="dxa"/>
        <w:tblInd w:w="-7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467"/>
        <w:gridCol w:w="1468"/>
        <w:gridCol w:w="752"/>
        <w:gridCol w:w="2945"/>
        <w:gridCol w:w="2867"/>
        <w:gridCol w:w="2684"/>
      </w:tblGrid>
      <w:tr w:rsidR="00782418">
        <w:trPr>
          <w:trHeight w:val="120"/>
        </w:trPr>
        <w:tc>
          <w:tcPr>
            <w:tcW w:w="963" w:type="dxa"/>
            <w:vMerge w:val="restart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1467" w:type="dxa"/>
            <w:vMerge w:val="restart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Poder de</w:t>
            </w:r>
            <w:r>
              <w:rPr>
                <w:b/>
                <w:color w:val="FFFFFF"/>
                <w:sz w:val="20"/>
                <w:szCs w:val="20"/>
              </w:rPr>
              <w:t xml:space="preserve"> gobierno o ámbito al que pertenece</w:t>
            </w:r>
          </w:p>
        </w:tc>
        <w:tc>
          <w:tcPr>
            <w:tcW w:w="1468" w:type="dxa"/>
            <w:vMerge w:val="restart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Tipo de sujeto obligado</w:t>
            </w:r>
          </w:p>
          <w:p w:rsidR="00782418" w:rsidRDefault="00782418">
            <w:pPr>
              <w:spacing w:after="0" w:line="240" w:lineRule="auto"/>
            </w:pPr>
          </w:p>
        </w:tc>
        <w:tc>
          <w:tcPr>
            <w:tcW w:w="9248" w:type="dxa"/>
            <w:gridSpan w:val="4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LGTAIP</w:t>
            </w:r>
          </w:p>
        </w:tc>
      </w:tr>
      <w:tr w:rsidR="00782418">
        <w:trPr>
          <w:trHeight w:val="1320"/>
        </w:trPr>
        <w:tc>
          <w:tcPr>
            <w:tcW w:w="963" w:type="dxa"/>
            <w:vMerge/>
            <w:shd w:val="clear" w:color="auto" w:fill="60497A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/>
            </w:pPr>
          </w:p>
        </w:tc>
        <w:tc>
          <w:tcPr>
            <w:tcW w:w="1467" w:type="dxa"/>
            <w:vMerge/>
            <w:shd w:val="clear" w:color="auto" w:fill="60497A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/>
            </w:pPr>
          </w:p>
        </w:tc>
        <w:tc>
          <w:tcPr>
            <w:tcW w:w="1468" w:type="dxa"/>
            <w:vMerge/>
            <w:shd w:val="clear" w:color="auto" w:fill="60497A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  <w:p w:rsidR="00782418" w:rsidRDefault="00782418">
            <w:pPr>
              <w:spacing w:after="0" w:line="240" w:lineRule="auto"/>
            </w:pPr>
          </w:p>
          <w:p w:rsidR="00782418" w:rsidRDefault="00782418">
            <w:pPr>
              <w:spacing w:after="0" w:line="240" w:lineRule="auto"/>
              <w:jc w:val="center"/>
            </w:pPr>
          </w:p>
        </w:tc>
        <w:tc>
          <w:tcPr>
            <w:tcW w:w="3697" w:type="dxa"/>
            <w:gridSpan w:val="2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867" w:type="dxa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684" w:type="dxa"/>
            <w:shd w:val="clear" w:color="auto" w:fill="60497A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782418">
        <w:trPr>
          <w:trHeight w:val="2000"/>
        </w:trPr>
        <w:tc>
          <w:tcPr>
            <w:tcW w:w="963" w:type="dxa"/>
            <w:vMerge w:val="restart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</w:pPr>
            <w:r>
              <w:rPr>
                <w:sz w:val="20"/>
                <w:szCs w:val="20"/>
              </w:rPr>
              <w:t>Estatal</w:t>
            </w:r>
          </w:p>
        </w:tc>
        <w:tc>
          <w:tcPr>
            <w:tcW w:w="1467" w:type="dxa"/>
            <w:vMerge w:val="restart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</w:pPr>
            <w:r>
              <w:rPr>
                <w:sz w:val="20"/>
                <w:szCs w:val="20"/>
              </w:rPr>
              <w:t>Poder Judicial</w:t>
            </w:r>
          </w:p>
        </w:tc>
        <w:tc>
          <w:tcPr>
            <w:tcW w:w="1468" w:type="dxa"/>
            <w:vMerge w:val="restart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Tribunal Superior de Justicia del Estado de Zacatecas</w:t>
            </w:r>
          </w:p>
        </w:tc>
        <w:tc>
          <w:tcPr>
            <w:tcW w:w="752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Las tesis y ejecutorias publicadas en el Semanario Judicial de la Federación o en la Gaceta respectiva de cada tribunal administrativo, incluyendo, las tesis jurisprudenciales y aisladas;</w:t>
            </w:r>
          </w:p>
        </w:tc>
        <w:tc>
          <w:tcPr>
            <w:tcW w:w="28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Aplica / Art 12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VI, Art. 59 al art. 63 de la Ley Orgánica de</w:t>
            </w:r>
            <w:r>
              <w:rPr>
                <w:sz w:val="20"/>
                <w:szCs w:val="20"/>
              </w:rPr>
              <w:t>l Poder Judicial del Estado de Zacatecas</w:t>
            </w:r>
          </w:p>
        </w:tc>
        <w:tc>
          <w:tcPr>
            <w:tcW w:w="2684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Secretaría General de Acuerdos</w:t>
            </w:r>
          </w:p>
        </w:tc>
      </w:tr>
      <w:tr w:rsidR="00782418">
        <w:trPr>
          <w:trHeight w:val="1260"/>
        </w:trPr>
        <w:tc>
          <w:tcPr>
            <w:tcW w:w="963" w:type="dxa"/>
            <w:vMerge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/>
            </w:pPr>
          </w:p>
        </w:tc>
        <w:tc>
          <w:tcPr>
            <w:tcW w:w="1467" w:type="dxa"/>
            <w:vMerge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/>
            </w:pPr>
          </w:p>
        </w:tc>
        <w:tc>
          <w:tcPr>
            <w:tcW w:w="1468" w:type="dxa"/>
            <w:vMerge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  <w:p w:rsidR="00782418" w:rsidRDefault="00782418">
            <w:pPr>
              <w:spacing w:after="0" w:line="240" w:lineRule="auto"/>
            </w:pPr>
          </w:p>
          <w:p w:rsidR="00782418" w:rsidRDefault="00782418">
            <w:pPr>
              <w:widowControl w:val="0"/>
              <w:spacing w:after="0" w:line="240" w:lineRule="auto"/>
            </w:pPr>
          </w:p>
        </w:tc>
        <w:tc>
          <w:tcPr>
            <w:tcW w:w="752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Las versiones públicas de las sentencias que sean de interés público;</w:t>
            </w:r>
          </w:p>
        </w:tc>
        <w:tc>
          <w:tcPr>
            <w:tcW w:w="28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Aplica / Art. 24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IV de la Ley Orgánica del Poder Judicial del Estado de Zacatecas</w:t>
            </w:r>
          </w:p>
        </w:tc>
        <w:tc>
          <w:tcPr>
            <w:tcW w:w="2684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Secretaría General de Acuerdos</w:t>
            </w:r>
          </w:p>
        </w:tc>
      </w:tr>
      <w:tr w:rsidR="00782418">
        <w:trPr>
          <w:trHeight w:val="1260"/>
        </w:trPr>
        <w:tc>
          <w:tcPr>
            <w:tcW w:w="963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8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 w:line="240" w:lineRule="auto"/>
            </w:pPr>
          </w:p>
        </w:tc>
        <w:tc>
          <w:tcPr>
            <w:tcW w:w="752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Las versiones estenográficas de las sesiones públicas;</w:t>
            </w:r>
          </w:p>
        </w:tc>
        <w:tc>
          <w:tcPr>
            <w:tcW w:w="28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proofErr w:type="spellStart"/>
            <w:r w:rsidRPr="003D33BC">
              <w:rPr>
                <w:sz w:val="20"/>
                <w:szCs w:val="20"/>
                <w:lang w:val="en-US"/>
              </w:rPr>
              <w:t>Aplica</w:t>
            </w:r>
            <w:proofErr w:type="spellEnd"/>
            <w:r w:rsidRPr="003D33BC">
              <w:rPr>
                <w:sz w:val="20"/>
                <w:szCs w:val="20"/>
                <w:lang w:val="en-US"/>
              </w:rPr>
              <w:t xml:space="preserve"> / Art. 24 </w:t>
            </w:r>
            <w:proofErr w:type="spellStart"/>
            <w:r w:rsidRPr="003D33BC">
              <w:rPr>
                <w:sz w:val="20"/>
                <w:szCs w:val="20"/>
                <w:lang w:val="en-US"/>
              </w:rPr>
              <w:t>Fracc</w:t>
            </w:r>
            <w:proofErr w:type="spellEnd"/>
            <w:r w:rsidRPr="003D33BC">
              <w:rPr>
                <w:sz w:val="20"/>
                <w:szCs w:val="20"/>
                <w:lang w:val="en-US"/>
              </w:rPr>
              <w:t xml:space="preserve">. I, II; art. 25 </w:t>
            </w:r>
            <w:proofErr w:type="spellStart"/>
            <w:r w:rsidRPr="003D33BC">
              <w:rPr>
                <w:sz w:val="20"/>
                <w:szCs w:val="20"/>
                <w:lang w:val="en-US"/>
              </w:rPr>
              <w:t>fracc</w:t>
            </w:r>
            <w:proofErr w:type="spellEnd"/>
            <w:r w:rsidRPr="003D33B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IV;  de la Ley Orgánica del Poder Judicial del Estado de Zacateca</w:t>
            </w:r>
          </w:p>
        </w:tc>
        <w:tc>
          <w:tcPr>
            <w:tcW w:w="2684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Secretaría General de Acuerdos</w:t>
            </w:r>
          </w:p>
        </w:tc>
      </w:tr>
      <w:tr w:rsidR="00782418">
        <w:trPr>
          <w:trHeight w:val="1260"/>
        </w:trPr>
        <w:tc>
          <w:tcPr>
            <w:tcW w:w="963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8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 w:line="240" w:lineRule="auto"/>
            </w:pPr>
          </w:p>
        </w:tc>
        <w:tc>
          <w:tcPr>
            <w:tcW w:w="752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 relacionada con los procesos por medio de los cuales fueron designados los jueces y magistrados, y</w:t>
            </w:r>
          </w:p>
        </w:tc>
        <w:tc>
          <w:tcPr>
            <w:tcW w:w="28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Aplica / Art 11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XXI de la Ley Orgánica del Poder Judicial del Estado de Zacatecas</w:t>
            </w:r>
          </w:p>
        </w:tc>
        <w:tc>
          <w:tcPr>
            <w:tcW w:w="2684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Secretaría General de Acuerdos</w:t>
            </w:r>
          </w:p>
        </w:tc>
      </w:tr>
      <w:tr w:rsidR="00782418">
        <w:trPr>
          <w:trHeight w:val="1260"/>
        </w:trPr>
        <w:tc>
          <w:tcPr>
            <w:tcW w:w="963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spacing w:after="0" w:line="240" w:lineRule="auto"/>
            </w:pPr>
          </w:p>
        </w:tc>
        <w:tc>
          <w:tcPr>
            <w:tcW w:w="1468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782418">
            <w:pPr>
              <w:widowControl w:val="0"/>
              <w:spacing w:after="0" w:line="240" w:lineRule="auto"/>
            </w:pPr>
          </w:p>
        </w:tc>
        <w:tc>
          <w:tcPr>
            <w:tcW w:w="752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 lista de acuerdos que diariamente se publiquen</w:t>
            </w:r>
          </w:p>
        </w:tc>
        <w:tc>
          <w:tcPr>
            <w:tcW w:w="2867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Aplica / Art. 15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VII del Reglamento Interno de la Oficialía Mayor del Tribunal Superior de Justicia del Estado de Zacatecas</w:t>
            </w:r>
          </w:p>
        </w:tc>
        <w:tc>
          <w:tcPr>
            <w:tcW w:w="2684" w:type="dxa"/>
            <w:shd w:val="clear" w:color="auto" w:fill="FFFFFF"/>
            <w:tcMar>
              <w:left w:w="70" w:type="dxa"/>
            </w:tcMar>
            <w:vAlign w:val="center"/>
          </w:tcPr>
          <w:p w:rsidR="00782418" w:rsidRDefault="003D33B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Dirección de Informática</w:t>
            </w:r>
          </w:p>
        </w:tc>
      </w:tr>
    </w:tbl>
    <w:p w:rsidR="00782418" w:rsidRDefault="00782418">
      <w:pPr>
        <w:spacing w:after="0" w:line="240" w:lineRule="auto"/>
        <w:ind w:left="851"/>
        <w:jc w:val="both"/>
      </w:pPr>
    </w:p>
    <w:p w:rsidR="00782418" w:rsidRDefault="00782418">
      <w:pPr>
        <w:spacing w:after="0" w:line="240" w:lineRule="auto"/>
        <w:ind w:left="851"/>
        <w:jc w:val="both"/>
      </w:pPr>
    </w:p>
    <w:p w:rsidR="00782418" w:rsidRDefault="00782418">
      <w:pPr>
        <w:spacing w:after="0" w:line="240" w:lineRule="auto"/>
        <w:jc w:val="both"/>
      </w:pPr>
    </w:p>
    <w:p w:rsidR="00782418" w:rsidRDefault="00782418"/>
    <w:sectPr w:rsidR="00782418">
      <w:pgSz w:w="15840" w:h="12240"/>
      <w:pgMar w:top="1701" w:right="1417" w:bottom="360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2418"/>
    <w:rsid w:val="003D33BC"/>
    <w:rsid w:val="007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F5893-F435-4A79-8992-5150618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tsjzac</cp:lastModifiedBy>
  <cp:revision>2</cp:revision>
  <dcterms:created xsi:type="dcterms:W3CDTF">2018-04-17T15:33:00Z</dcterms:created>
  <dcterms:modified xsi:type="dcterms:W3CDTF">2018-04-17T15:33:00Z</dcterms:modified>
</cp:coreProperties>
</file>