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 xml:space="preserve">Tabla de aplicabilidad de las Obligaciones de transparencia comunes 2016 del </w:t>
      </w:r>
    </w:p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>Tribunal Superior de Justicia del Estado de Zacatecas</w:t>
      </w:r>
    </w:p>
    <w:p w:rsidR="005853F6" w:rsidRDefault="005853F6">
      <w:pPr>
        <w:spacing w:after="0" w:line="240" w:lineRule="auto"/>
        <w:ind w:left="851"/>
        <w:jc w:val="both"/>
        <w:rPr>
          <w:i/>
        </w:rPr>
      </w:pPr>
    </w:p>
    <w:p w:rsidR="005853F6" w:rsidRDefault="005853F6">
      <w:pPr>
        <w:spacing w:after="0" w:line="240" w:lineRule="auto"/>
        <w:ind w:left="851"/>
        <w:jc w:val="both"/>
        <w:rPr>
          <w:rFonts w:cs="Times New Roman"/>
          <w:b/>
          <w:bCs/>
          <w:color w:val="60497A"/>
        </w:rPr>
      </w:pPr>
      <w:r>
        <w:rPr>
          <w:rFonts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En </w:t>
      </w:r>
      <w:smartTag w:uri="urn:schemas-microsoft-com:office:smarttags" w:element="PersonName">
        <w:smartTagPr>
          <w:attr w:name="ProductID" w:val="la Ley Federal"/>
        </w:smartTagPr>
        <w:r>
          <w:rPr>
            <w:i/>
          </w:rPr>
          <w:t>la Ley Federal</w:t>
        </w:r>
      </w:smartTag>
      <w:r>
        <w:rPr>
          <w:i/>
        </w:rPr>
        <w:t xml:space="preserve">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>
        <w:rPr>
          <w:rFonts w:cs="Times New Roman"/>
          <w:b/>
          <w:bCs/>
          <w:color w:val="60497A"/>
        </w:rPr>
        <w:t xml:space="preserve"> </w:t>
      </w:r>
    </w:p>
    <w:p w:rsidR="005853F6" w:rsidRDefault="005853F6">
      <w:pPr>
        <w:spacing w:after="0" w:line="240" w:lineRule="auto"/>
        <w:ind w:left="851"/>
        <w:jc w:val="both"/>
        <w:rPr>
          <w:rFonts w:cs="Times New Roman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20"/>
      </w:tblPr>
      <w:tblGrid>
        <w:gridCol w:w="963"/>
        <w:gridCol w:w="1467"/>
        <w:gridCol w:w="1468"/>
        <w:gridCol w:w="752"/>
        <w:gridCol w:w="2945"/>
        <w:gridCol w:w="2867"/>
        <w:gridCol w:w="2684"/>
      </w:tblGrid>
      <w:tr w:rsidR="005853F6" w:rsidRPr="000D406F" w:rsidTr="0091758A">
        <w:trPr>
          <w:trHeight w:val="132"/>
          <w:tblHeader/>
        </w:trPr>
        <w:tc>
          <w:tcPr>
            <w:tcW w:w="963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1467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Poder de gobierno o ámbito al que pertenece</w:t>
            </w:r>
          </w:p>
        </w:tc>
        <w:tc>
          <w:tcPr>
            <w:tcW w:w="1468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48" w:type="dxa"/>
            <w:gridSpan w:val="4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5853F6" w:rsidRPr="000D406F" w:rsidTr="0091758A">
        <w:trPr>
          <w:trHeight w:val="1334"/>
          <w:tblHeader/>
        </w:trPr>
        <w:tc>
          <w:tcPr>
            <w:tcW w:w="963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7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867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684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5853F6" w:rsidRPr="000D406F" w:rsidTr="0091758A">
        <w:trPr>
          <w:trHeight w:val="1790"/>
        </w:trPr>
        <w:tc>
          <w:tcPr>
            <w:tcW w:w="963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Estatal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Poder Judicial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91758A">
            <w:pPr>
              <w:pStyle w:val="ListParagraph"/>
              <w:spacing w:after="0" w:line="240" w:lineRule="auto"/>
              <w:ind w:left="0"/>
              <w:rPr>
                <w:color w:val="000000"/>
                <w:lang w:val="es-MX" w:eastAsia="es-MX"/>
              </w:rPr>
            </w:pPr>
            <w:r w:rsidRPr="0091758A">
              <w:rPr>
                <w:color w:val="000000"/>
                <w:lang w:val="es-MX" w:eastAsia="es-MX"/>
              </w:rPr>
              <w:t>Tribunal Superior de Justicia del Estado de Zacatecas</w:t>
            </w:r>
          </w:p>
          <w:p w:rsidR="005853F6" w:rsidRPr="000D406F" w:rsidRDefault="005853F6">
            <w:pPr>
              <w:spacing w:after="0" w:line="240" w:lineRule="auto"/>
              <w:rPr>
                <w:sz w:val="20"/>
                <w:szCs w:val="20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11 Fracc. VIII y IX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5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E5AAE">
              <w:rPr>
                <w:sz w:val="20"/>
                <w:szCs w:val="20"/>
              </w:rPr>
              <w:t xml:space="preserve">Art. 28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EE5AAE">
                <w:rPr>
                  <w:sz w:val="20"/>
                  <w:szCs w:val="20"/>
                </w:rPr>
                <w:t>la Ley Orgánica</w:t>
              </w:r>
            </w:smartTag>
            <w:r w:rsidRPr="00EE5AAE">
              <w:rPr>
                <w:sz w:val="20"/>
                <w:szCs w:val="20"/>
              </w:rPr>
              <w:t xml:space="preserve"> del Poder Judicial del Estado de Zacatecas 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717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5AAE">
              <w:rPr>
                <w:sz w:val="20"/>
                <w:szCs w:val="20"/>
              </w:rPr>
              <w:t>Aplica / Art. 30, 44, 45,46</w:t>
            </w:r>
            <w:r>
              <w:rPr>
                <w:sz w:val="20"/>
                <w:szCs w:val="20"/>
              </w:rPr>
              <w:t xml:space="preserve"> y </w:t>
            </w:r>
            <w:r w:rsidRPr="00EE5AAE">
              <w:rPr>
                <w:sz w:val="20"/>
                <w:szCs w:val="20"/>
              </w:rPr>
              <w:t>47 Ley Orgánica  del  Poder  Judicial del Estado de Zacatecas.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20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79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General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 Contabilidad Gubernamental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71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0D406F">
              <w:rPr>
                <w:rFonts w:cs="Times New Roman"/>
                <w:color w:val="000000"/>
              </w:rPr>
              <w:t>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directorio d</w:t>
            </w:r>
            <w:bookmarkStart w:id="0" w:name="_GoBack"/>
            <w:bookmarkEnd w:id="0"/>
            <w:r w:rsidRPr="000D406F">
              <w:rPr>
                <w:rFonts w:cs="Times New Roman"/>
                <w:color w:val="000000"/>
                <w:sz w:val="20"/>
                <w:szCs w:val="20"/>
              </w:rPr>
              <w:t>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Punto 10.2 del Manual de Organización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fracc. V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14 fracc. VI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88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fracc. XIX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El domicilio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Unidad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Transparencia, además de la dirección electrónica donde podrán recibirse las solicitudes para obtener la información;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11 Fracc. XXI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NO APLICA al Tribunal Superior de Justicia del Estado de Zacatecas, POR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NATURALEZA DE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SU FUNCIÓN; que es administrar de manera pronta, completa, imparcial, expedita, transparente y gratuita para el Estado, por tal motivo no existe Presupuesto asignado para el desarrollo de PROGRAMAS SOCIALES. Art 1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0D40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0D406F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Fracc. IV y XXIV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Fracc. 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Fracc. XII y XIII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t xml:space="preserve">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Fracc. X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Fracc. XII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Fracc.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52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Fracc.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financiera sobre el presupuesto asignado, así como los informes del ejercicio trimestral del gasto, en términos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Ley General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Contabilidad Gubernamental y demás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Fracc. XII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13 Fracc. I, II, XIII y XIV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Dirección de Recursos Fi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nancieros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Lo dispuesto por esta fracción, NO ES APLICABLE al Tribunal Superior de Justicia del Estado de Zacatecas; por no estar considerado dentro de las entidades públicas a que hace referencia el Artículo 2, de la LEY DE DEUDA PÚBLICA PARA EL ESTADO Y MUNICIPIOS DE ZACATECAS por lo que su pasivo incluye únicamente los provenientes de servicos personales, retenciones y contribuciones por pagar derivados de la nómina con vencimiento no mayor a 30 días, así como las deudas con proveedores por la adquisición de bienes y servicios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61 Frac II inciso a. de la Ley General de Contabilidad Gubernamental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Área de Comunicación Social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18 Fracc.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Control Interno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Punto 10.1 del Manual de Organización de la Oficialía Mayor del Tribunal Superior de Justicia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Área de Impuestos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33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Lo dispuesto por esta fracción, NO ES APLICABLE al Tribunal Superior de Justicia del Estado de Zacatecas; por estar determinada la exclusividad de servicio en el Art. 56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7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30 Fracc.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Art. 14 Fracc.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1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30 Fracc.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Art. 14 Fracc.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 11 Fracc. XXXI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Presidencia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00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30 Fracc. XIX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Art. 17 Fracc. 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Estadística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30 Fracc. XII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Art. 13 Fracc. I, II, XIII y XIV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30 Fracc.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Art. 14 Fracc. II, y VI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>Art. 13 Frac. 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Escuela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>Art. 30 Fracc. XVII de la Ley Orgánica del Poder Judicial del Estado de Zacatecas</w:t>
            </w:r>
          </w:p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91196">
              <w:rPr>
                <w:rFonts w:cs="Times New Roman"/>
                <w:bCs/>
                <w:sz w:val="20"/>
                <w:szCs w:val="20"/>
              </w:rPr>
              <w:t>Art. 14 Fracc. IX, y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791196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Aplica / Art 11 Fracc. XVIII, art. 13 fracc. </w:t>
            </w:r>
            <w:r w:rsidRPr="00791196">
              <w:rPr>
                <w:rFonts w:cs="Times New Roman"/>
                <w:bCs/>
                <w:sz w:val="20"/>
                <w:szCs w:val="20"/>
              </w:rPr>
              <w:t>XXVII y el art. 24 Fracc IX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30 Fracc. XIX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17 Fracc. 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Estadística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44 de la Ley General de Transparencia y Acceso a la Información Pública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Presupuesto asignado para el desarrollo de PROGRAMAS SOCIALES.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5 Fracc. IV del Reglamento de la Escuela Judicial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Pr="009C463F" w:rsidRDefault="005853F6" w:rsidP="009C463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Área de Investigaciones Histórico Jurídicas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30 Fracc. VI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9 Fracc. IX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30 Fracc. XII y XIV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Art. 13 Fracc. VIII y el art. 16 frac. </w:t>
            </w:r>
            <w:r w:rsidRPr="009C463F">
              <w:rPr>
                <w:rFonts w:cs="Times New Roman"/>
                <w:bCs/>
                <w:sz w:val="20"/>
                <w:szCs w:val="20"/>
              </w:rPr>
              <w:t>VI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Fondo Auxiliar para la Administración de Justicia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30 Fracc. XVII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Art. 13 Fracc. III y art. 14 Fracc.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XI, y XIII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Aplica / Art 13 Fracc. XXVI, art. 24 Frac.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1 del Reglamento del Archivo General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Archivo General del Poder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24 Fracc. II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543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24 Fracc. XI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280Bis del Código Procesal Penal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Art. 30Bis Fracc. I de la Ley Orgánica del Poder Judicial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409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0D406F" w:rsidRDefault="005853F6">
            <w:pPr>
              <w:jc w:val="center"/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53F6" w:rsidRDefault="005853F6" w:rsidP="00D47878">
      <w:pPr>
        <w:spacing w:after="0" w:line="240" w:lineRule="auto"/>
      </w:pPr>
    </w:p>
    <w:sectPr w:rsidR="005853F6" w:rsidSect="00BB749B">
      <w:pgSz w:w="15840" w:h="12240" w:orient="landscape"/>
      <w:pgMar w:top="1701" w:right="1417" w:bottom="360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1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AF1C3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E06"/>
    <w:multiLevelType w:val="multilevel"/>
    <w:tmpl w:val="FFFFFFFF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552"/>
    <w:rsid w:val="000D406F"/>
    <w:rsid w:val="001470E0"/>
    <w:rsid w:val="00176552"/>
    <w:rsid w:val="002E7D0A"/>
    <w:rsid w:val="003655BF"/>
    <w:rsid w:val="0045187F"/>
    <w:rsid w:val="005853F6"/>
    <w:rsid w:val="005B6768"/>
    <w:rsid w:val="00791196"/>
    <w:rsid w:val="008E5688"/>
    <w:rsid w:val="0091758A"/>
    <w:rsid w:val="009C463F"/>
    <w:rsid w:val="00AA5520"/>
    <w:rsid w:val="00BB749B"/>
    <w:rsid w:val="00D00BD2"/>
    <w:rsid w:val="00D47878"/>
    <w:rsid w:val="00E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52"/>
    <w:pPr>
      <w:spacing w:after="200" w:line="276" w:lineRule="auto"/>
    </w:pPr>
    <w:rPr>
      <w:lang w:val="es-MX"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8E5688"/>
    <w:rPr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8E5688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E5688"/>
    <w:rPr>
      <w:rFonts w:cs="Times New Roman"/>
    </w:rPr>
  </w:style>
  <w:style w:type="character" w:customStyle="1" w:styleId="BodyTextFirstIndent2Char">
    <w:name w:val="Body Text First Indent 2 Char"/>
    <w:link w:val="BodyTextFirstIndent2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BodyTextChar">
    <w:name w:val="Body Text Char"/>
    <w:link w:val="BodyText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E5688"/>
    <w:rPr>
      <w:rFonts w:cs="Times New Roman"/>
    </w:rPr>
  </w:style>
  <w:style w:type="character" w:customStyle="1" w:styleId="ListLabel1">
    <w:name w:val="ListLabel 1"/>
    <w:uiPriority w:val="99"/>
    <w:rsid w:val="00176552"/>
  </w:style>
  <w:style w:type="character" w:customStyle="1" w:styleId="ListLabel2">
    <w:name w:val="ListLabel 2"/>
    <w:uiPriority w:val="99"/>
    <w:rsid w:val="00176552"/>
  </w:style>
  <w:style w:type="character" w:customStyle="1" w:styleId="ListLabel3">
    <w:name w:val="ListLabel 3"/>
    <w:uiPriority w:val="99"/>
    <w:rsid w:val="00176552"/>
  </w:style>
  <w:style w:type="character" w:customStyle="1" w:styleId="ListLabel4">
    <w:name w:val="ListLabel 4"/>
    <w:uiPriority w:val="99"/>
    <w:rsid w:val="00176552"/>
  </w:style>
  <w:style w:type="character" w:customStyle="1" w:styleId="ListLabel5">
    <w:name w:val="ListLabel 5"/>
    <w:uiPriority w:val="99"/>
    <w:rsid w:val="00176552"/>
  </w:style>
  <w:style w:type="character" w:customStyle="1" w:styleId="ListLabel6">
    <w:name w:val="ListLabel 6"/>
    <w:uiPriority w:val="99"/>
    <w:rsid w:val="00176552"/>
  </w:style>
  <w:style w:type="character" w:customStyle="1" w:styleId="ListLabel7">
    <w:name w:val="ListLabel 7"/>
    <w:uiPriority w:val="99"/>
    <w:rsid w:val="00176552"/>
  </w:style>
  <w:style w:type="character" w:customStyle="1" w:styleId="ListLabel8">
    <w:name w:val="ListLabel 8"/>
    <w:uiPriority w:val="99"/>
    <w:rsid w:val="00176552"/>
  </w:style>
  <w:style w:type="character" w:customStyle="1" w:styleId="ListLabel9">
    <w:name w:val="ListLabel 9"/>
    <w:uiPriority w:val="99"/>
    <w:rsid w:val="00176552"/>
  </w:style>
  <w:style w:type="character" w:customStyle="1" w:styleId="ListLabel10">
    <w:name w:val="ListLabel 10"/>
    <w:uiPriority w:val="99"/>
    <w:rsid w:val="00176552"/>
  </w:style>
  <w:style w:type="character" w:customStyle="1" w:styleId="ListLabel11">
    <w:name w:val="ListLabel 11"/>
    <w:uiPriority w:val="99"/>
    <w:rsid w:val="00176552"/>
  </w:style>
  <w:style w:type="character" w:customStyle="1" w:styleId="ListLabel12">
    <w:name w:val="ListLabel 12"/>
    <w:uiPriority w:val="99"/>
    <w:rsid w:val="00176552"/>
  </w:style>
  <w:style w:type="character" w:customStyle="1" w:styleId="ListLabel13">
    <w:name w:val="ListLabel 13"/>
    <w:uiPriority w:val="99"/>
    <w:rsid w:val="00176552"/>
  </w:style>
  <w:style w:type="character" w:customStyle="1" w:styleId="ListLabel14">
    <w:name w:val="ListLabel 14"/>
    <w:uiPriority w:val="99"/>
    <w:rsid w:val="00176552"/>
  </w:style>
  <w:style w:type="character" w:customStyle="1" w:styleId="ListLabel15">
    <w:name w:val="ListLabel 15"/>
    <w:uiPriority w:val="99"/>
    <w:rsid w:val="00176552"/>
  </w:style>
  <w:style w:type="character" w:customStyle="1" w:styleId="ListLabel16">
    <w:name w:val="ListLabel 16"/>
    <w:uiPriority w:val="99"/>
    <w:rsid w:val="00176552"/>
  </w:style>
  <w:style w:type="character" w:customStyle="1" w:styleId="ListLabel17">
    <w:name w:val="ListLabel 17"/>
    <w:uiPriority w:val="99"/>
    <w:rsid w:val="00176552"/>
  </w:style>
  <w:style w:type="character" w:customStyle="1" w:styleId="ListLabel18">
    <w:name w:val="ListLabel 18"/>
    <w:uiPriority w:val="99"/>
    <w:rsid w:val="00176552"/>
  </w:style>
  <w:style w:type="character" w:customStyle="1" w:styleId="ListLabel19">
    <w:name w:val="ListLabel 19"/>
    <w:uiPriority w:val="99"/>
    <w:rsid w:val="00176552"/>
    <w:rPr>
      <w:i/>
    </w:rPr>
  </w:style>
  <w:style w:type="character" w:customStyle="1" w:styleId="ListLabel20">
    <w:name w:val="ListLabel 20"/>
    <w:uiPriority w:val="99"/>
    <w:rsid w:val="00176552"/>
    <w:rPr>
      <w:b/>
    </w:rPr>
  </w:style>
  <w:style w:type="character" w:customStyle="1" w:styleId="ListLabel21">
    <w:name w:val="ListLabel 21"/>
    <w:uiPriority w:val="99"/>
    <w:rsid w:val="00176552"/>
    <w:rPr>
      <w:b/>
    </w:rPr>
  </w:style>
  <w:style w:type="character" w:customStyle="1" w:styleId="ListLabel22">
    <w:name w:val="ListLabel 22"/>
    <w:uiPriority w:val="99"/>
    <w:rsid w:val="00176552"/>
  </w:style>
  <w:style w:type="character" w:customStyle="1" w:styleId="ListLabel23">
    <w:name w:val="ListLabel 23"/>
    <w:uiPriority w:val="99"/>
    <w:rsid w:val="00176552"/>
    <w:rPr>
      <w:rFonts w:ascii="Calibri" w:hAnsi="Calibri"/>
      <w:sz w:val="16"/>
    </w:rPr>
  </w:style>
  <w:style w:type="character" w:customStyle="1" w:styleId="ListLabel24">
    <w:name w:val="ListLabel 24"/>
    <w:uiPriority w:val="99"/>
    <w:rsid w:val="00176552"/>
  </w:style>
  <w:style w:type="character" w:customStyle="1" w:styleId="ListLabel25">
    <w:name w:val="ListLabel 25"/>
    <w:uiPriority w:val="99"/>
    <w:rsid w:val="00176552"/>
  </w:style>
  <w:style w:type="character" w:customStyle="1" w:styleId="ListLabel26">
    <w:name w:val="ListLabel 26"/>
    <w:uiPriority w:val="99"/>
    <w:rsid w:val="00176552"/>
  </w:style>
  <w:style w:type="character" w:customStyle="1" w:styleId="ListLabel27">
    <w:name w:val="ListLabel 27"/>
    <w:uiPriority w:val="99"/>
    <w:rsid w:val="00176552"/>
    <w:rPr>
      <w:rFonts w:eastAsia="Times New Roman"/>
      <w:sz w:val="16"/>
    </w:rPr>
  </w:style>
  <w:style w:type="character" w:customStyle="1" w:styleId="ListLabel28">
    <w:name w:val="ListLabel 28"/>
    <w:uiPriority w:val="99"/>
    <w:rsid w:val="00176552"/>
  </w:style>
  <w:style w:type="character" w:customStyle="1" w:styleId="ListLabel29">
    <w:name w:val="ListLabel 29"/>
    <w:uiPriority w:val="99"/>
    <w:rsid w:val="00176552"/>
  </w:style>
  <w:style w:type="character" w:customStyle="1" w:styleId="ListLabel30">
    <w:name w:val="ListLabel 30"/>
    <w:uiPriority w:val="99"/>
    <w:rsid w:val="00176552"/>
  </w:style>
  <w:style w:type="paragraph" w:styleId="Header">
    <w:name w:val="header"/>
    <w:basedOn w:val="Normal"/>
    <w:next w:val="BodyText"/>
    <w:link w:val="HeaderChar"/>
    <w:uiPriority w:val="99"/>
    <w:rsid w:val="0017655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MX" w:eastAsia="es-MX"/>
    </w:rPr>
  </w:style>
  <w:style w:type="paragraph" w:styleId="BodyText">
    <w:name w:val="Body Text"/>
    <w:basedOn w:val="Normal"/>
    <w:link w:val="BodyTextChar1"/>
    <w:uiPriority w:val="99"/>
    <w:rsid w:val="008E5688"/>
    <w:pPr>
      <w:spacing w:after="120"/>
    </w:pPr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val="es-MX" w:eastAsia="es-MX"/>
    </w:rPr>
  </w:style>
  <w:style w:type="paragraph" w:styleId="List">
    <w:name w:val="List"/>
    <w:basedOn w:val="BodyText"/>
    <w:uiPriority w:val="99"/>
    <w:rsid w:val="00176552"/>
    <w:rPr>
      <w:rFonts w:cs="FreeSans"/>
    </w:rPr>
  </w:style>
  <w:style w:type="paragraph" w:styleId="Caption">
    <w:name w:val="caption"/>
    <w:basedOn w:val="Normal"/>
    <w:uiPriority w:val="99"/>
    <w:qFormat/>
    <w:rsid w:val="001765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76552"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ParagraphChar"/>
    <w:uiPriority w:val="99"/>
    <w:qFormat/>
    <w:rsid w:val="008E5688"/>
    <w:pPr>
      <w:widowControl w:val="0"/>
      <w:ind w:left="720"/>
      <w:contextualSpacing/>
    </w:pPr>
    <w:rPr>
      <w:rFonts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1"/>
    <w:uiPriority w:val="99"/>
    <w:semiHidden/>
    <w:rsid w:val="008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s-MX" w:eastAsia="es-MX"/>
    </w:rPr>
  </w:style>
  <w:style w:type="paragraph" w:styleId="BodyTextIndent">
    <w:name w:val="Body Text Indent"/>
    <w:basedOn w:val="Normal"/>
    <w:link w:val="BodyTextIndentChar1"/>
    <w:uiPriority w:val="99"/>
    <w:semiHidden/>
    <w:rsid w:val="008E568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val="es-MX" w:eastAsia="es-MX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8E5688"/>
    <w:pPr>
      <w:spacing w:after="200"/>
      <w:ind w:left="360" w:firstLine="360"/>
    </w:pPr>
    <w:rPr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locked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27</Pages>
  <Words>2901</Words>
  <Characters>15959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Especialistas</dc:creator>
  <cp:keywords/>
  <dc:description/>
  <cp:lastModifiedBy> Palalcio de Justicia del Estado de Zacatecas</cp:lastModifiedBy>
  <cp:revision>7</cp:revision>
  <cp:lastPrinted>2016-06-20T15:59:00Z</cp:lastPrinted>
  <dcterms:created xsi:type="dcterms:W3CDTF">2016-04-29T17:20:00Z</dcterms:created>
  <dcterms:modified xsi:type="dcterms:W3CDTF">2016-06-20T16:08:00Z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